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77</w:t>
      </w:r>
    </w:p>
    <w:p>
      <w:r>
        <w:t>Bundesgericht (BGE), 2014-02-24, DE</w:t>
      </w:r>
    </w:p>
    <w:p>
      <w:r>
        <w:rPr>
          <w:b/>
        </w:rPr>
        <w:t xml:space="preserve">Quelle: </w:t>
      </w:r>
      <w:r>
        <w:t>https://mcp.opencaselaw.ch/entscheid/bge_140 V 77</w:t>
      </w:r>
    </w:p>
    <w:p>
      <w:r>
        <w:t>FR: ATF 140 V 77</w:t>
      </w:r>
    </w:p>
    <w:p>
      <w:r>
        <w:t>IT: DTF 140 V 77</w:t>
      </w:r>
    </w:p>
    <w:p>
      <w:pPr>
        <w:pStyle w:val="Heading2"/>
      </w:pPr>
      <w:r>
        <w:t>Regeste</w:t>
      </w:r>
    </w:p>
    <w:p>
      <w:r>
        <w:t>Regeste Art. 50 Abs. 1 und 2, Art. 53 Abs. 2 ATSG; Art. 18 UVG; Wiedererwägung bei vergleichsgestützter Leistungszusprechung des Unfallversicherers. Der UVG-Versicherer kann seine gestützt auf einen Vergleich mit der versicherten Person erlassene Verfügung über die Zusprechung einer Versicherungsleistung nicht mit der Begründung in Wiedererwägung ziehen, ein einzelnes der anspruchsrelevanten Kriterien - wie etwa der versicherte Verdienst bei einer Invalidenrente - sei offensichtlich unrichtig festgelegt worden. Hiefür müsste sich vielmehr die vergleichsweise verfügte Leistung bei einer auch sämtliche weiteren Anspruchsfaktoren umfassenden Klärung des Sachverhalts und der Rechtslage im Ergebnis als offensichtlich unrichtig erweisen (E. 3).</w:t>
      </w:r>
    </w:p>
    <w:p>
      <w:pPr>
        <w:pStyle w:val="Heading2"/>
      </w:pPr>
      <w:r>
        <w:t>Erwägungen</w:t>
      </w:r>
    </w:p>
    <w:p>
      <w:r>
        <w:rPr>
          <w:b/>
        </w:rPr>
        <w:t>E. 2</w:t>
      </w:r>
    </w:p>
    <w:p>
      <w:r>
        <w:t>Den Ausgangspunkt des zu beurteilenden Rechtsstreites bildet die Verfügung vom 23. September 1998. Mit dieser hat die Rechtsvorgängerin der Allianz als obligatorischer Unfallversicherer der Beschwerdegegnerin für die verbleibenden Folgen des erlittenen Unfalls nebst einer Integritätsentschädigung eine ab 1. Januar 1998 laufende Invalidenrente nach Massgabe eines Invaliditätsgrades von 33,33 % und eines versicherten Verdienstes von Fr. 62'000.- zugesprochen. Der Versicherer stützte sich bei der Zusprechung dieser Leistungen auf einen mit der Versicherten geschlossenen Vergleich. Streitig und zu prüfen ist, ob die Allianz zu Recht in Wiedererwägung der Verfügung vom 23. September 1998 den versicherten Verdienst auf Fr. 41'254.60 reduziert und die Invalidenrente entsprechend herabgesetzt hat.</w:t>
      </w:r>
    </w:p>
    <w:p>
      <w:r>
        <w:rPr>
          <w:b/>
        </w:rPr>
        <w:t>E. 3.1</w:t>
      </w:r>
    </w:p>
    <w:p>
      <w:r>
        <w:t>Gemäss Art. 53 Abs. 2 ATSG (SR 830.1) kann der Versicherungsträger auf formell rechtskräftige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 Januar 2003 entwickelt hatte ( BGE 133 V 50 E. 4.1 S. 52; vgl. auch BGE 138 V 147 E. 2.1 S. 148 f.). Voraussetzung einer Wiedererwägung ist - nebst der erheblichen Bedeutung der Berichtigung -, dass kein vernünftiger Zweifel an der Unrichtigkeit der Verfügung (gemeint ist hiebei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wurden ( BGE 138 V 324 E. 3.3 S. 328). Ob dies zutrifft, beurteilt sich nach der bei Erlass der Verfügung bestandenen Sach- und Rechtslage, einschliesslich der damaligen Rechtspraxis (vgl. BGE 138 V 147 E. 2.1 S. 149, BGE 138 V 324 E. 3.3 S. 328). Um wiedererwägungsweise auf eine verfügte Leistung zurückkommen zu können, genügt es aber nicht, wenn ein einzelnes Anspruchselement rechtswidrig festgelegt wurde. Vielmehr hat sich die Leistungszusprache auch im Ergebnis als offensichtlich unrichtig zu BGE 140 V 77 S. 80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(vgl. BGE 117 V 8 E. 2c/aa S. 20; SVR 2006 UV Nr. 17 S. 60, U 378/05 E. 5.3; sodann aus jüngerer Zeit: Urteil 8C_778/2012 vom 27. Mai 2013 E. 3.1 mit weiteren Hinweisen). Eine Wiedererwägung einer prozentgenauen Invalidenrente bedingt sodann, dass die Differenz des Invaliditätsgrades zu der als zweifellos unrichtig erkannten Verfügung mindestens 5 Prozentpunkte beträgt ( BGE 140 V 85 E. 4 S. 87).</w:t>
      </w:r>
    </w:p>
    <w:p>
      <w:r>
        <w:rPr>
          <w:b/>
        </w:rPr>
        <w:t>E. 3.2</w:t>
      </w:r>
    </w:p>
    <w:p>
      <w:r>
        <w:t>Bereits vor Inkrafttreten des ATSG war es nach der Rechtsprechung zulässig, sozialversicherungsrechtliche Streitigkeiten zwischen Versicherungsträger und Versicherten vergleichsweise zu regeln (vgl. BGE 133 V 593 E. 4.3 S. 595; BGE 104 V 162 ; UELI KIESER, ATSG-Kommentar, 2. Aufl. 2009, N. 3 ff. zu Art. 50 ATSG ; BARBARA KUPFER BUCHER, Das nichtstreitige Verwaltungsverfahren nach dem ATSG und seine Auswirkungen auf das AVIG, 2006, S. 202). In Art. 50 ATSG wurde dies kodifiziert. Danach können Streitigkeiten über sozialversicherungsrechtliche Leistungen durch Vergleich erledigt werden ( Art. 50 Abs. 1 ATSG ). Der Versicherungsträger hat den Vergleich in Form einer anfechtbaren Verfügung zu eröffnen ( Art. 50 Abs. 2 ATSG ).</w:t>
      </w:r>
    </w:p>
    <w:p>
      <w:r>
        <w:rPr>
          <w:b/>
        </w:rPr>
        <w:t>E. 3.2.1</w:t>
      </w:r>
    </w:p>
    <w:p>
      <w:r>
        <w:t>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 BGE 138 V 147 E. 2.4 S. 149 f.; vgl. auch KUPFER BUCHER, a.a.O., S. 198 f. mit Hinweisen auf Gesetzesmaterialien). BGE 140 V 77 S. 81</w:t>
      </w:r>
    </w:p>
    <w:p>
      <w:r>
        <w:rPr>
          <w:b/>
        </w:rPr>
        <w:t>E. 3.2.2</w:t>
      </w:r>
    </w:p>
    <w:p>
      <w:r>
        <w:t>Rechtsprechungsgemäss kann ein Vergleich grundsätzlich ebenso in Wiedererwägung gezogen werden wie eine Verfügung. Es sind jedoch im Rahmen von Art. 53 Abs. 2 ATSG höhere Anforderungen zu stellen, um dem Vergleichscharakter Rechnung zu tragen ( BGE 138 V 147 E. 2.3 S. 149).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 BGE 138 V 147 E. 2.4 S. 150). Zu beachten ist dabei auch, dass die Zusprechung von Sozialversicherungsleistungen in der Regel auf verschiedenen Anspruchsgrundlagen beruht. Im UVG sind dies, nebst etwa der Versicherungsdeckung und den notwendigen kausalen Zusammenhängen, bei der Invalidenrente in erster Linie der Invaliditätsgrad - mit den diesem zugrunde liegenden Faktoren der Invaliditätsbemessung - und der versicherte Verdienst, bei der Integritätsentschädigung die Integritätseinbusse. Werden Sozialversicherungsleistungen gestützt auf einen Vergleich verfügt,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Der Versicherungsträger hat sich hiebei im Rahmen des ihm zustehenden Ermessens zu halten. Für die versicherte Person wird die rasche Zusprechung einer möglichst hohen Leistung im Vordergrund stehen (vgl. E. 3.2.1 hievor).</w:t>
      </w:r>
    </w:p>
    <w:p>
      <w:r>
        <w:rPr>
          <w:b/>
        </w:rPr>
        <w:t>E. 3.2.3</w:t>
      </w:r>
    </w:p>
    <w:p>
      <w:r>
        <w:t>Der wie dargelegt gesamthaften Betrachtungsweise beim Vergleich und den ihr zugrunde liegenden Wechselwirkungen läuft zuwider, wenn der Unfallversicherer im Nachhinein ein einzelnes Element des Leistungsanspruchs herausgreift und einer Wiedererwägung der damaligen Verfügung zugrunde legen,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 BGE 140 V 77 S. 82</w:t>
      </w:r>
    </w:p>
    <w:p>
      <w:r>
        <w:rPr>
          <w:b/>
        </w:rPr>
        <w:t>E. 4</w:t>
      </w:r>
    </w:p>
    <w:p>
      <w:r>
        <w:t>Im vorliegenden Fall hat der Unfallversicherer sich auf den versicherten Verdienst beschränkt und die übrigen rentenrelevanten Faktoren unberücksichtigt gelassen. Das rechtfertigt, selbst wenn der versicherte Verdienst isoliert betrachtet als offensichtlich unrichtig zu betrachten wäre, keine Wiedererwägung der gestützt auf den Vergleich zugesprochenen Invalidenrente. Hinzu kommt, dass der Vergleich auch eine Integritätsentschädigung umfasste. Inwieweit auch diese zu berücksichtigen wäre, kann aber offenbleiben, da sich die Wiedererwägung schon aufgrund des zuvor Gesagten als unzulässig erweist. Das kantonale Gericht hat den Einspracheentscheid somit zu Recht aufgehoben.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